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95F" w:rsidRPr="006F5537" w:rsidRDefault="00FD6BD5" w:rsidP="006F5537">
      <w:pPr>
        <w:spacing w:after="0" w:line="480" w:lineRule="auto"/>
        <w:jc w:val="center"/>
        <w:rPr>
          <w:rFonts w:ascii="Times New Roman" w:hAnsi="Times New Roman" w:cs="Times New Roman"/>
          <w:sz w:val="24"/>
          <w:szCs w:val="24"/>
        </w:rPr>
      </w:pPr>
      <w:r w:rsidRPr="006F5537">
        <w:rPr>
          <w:rFonts w:ascii="Times New Roman" w:hAnsi="Times New Roman" w:cs="Times New Roman"/>
          <w:sz w:val="24"/>
          <w:szCs w:val="24"/>
        </w:rPr>
        <w:t>E Pluribus Unum: Diversity and Community in the Twenty-first Century the 2006 Johan Skytte Prize Lecture</w:t>
      </w:r>
    </w:p>
    <w:p w:rsidR="006F5537" w:rsidRPr="006F5537" w:rsidRDefault="006F5537" w:rsidP="006F5537">
      <w:pPr>
        <w:spacing w:after="0" w:line="480" w:lineRule="auto"/>
        <w:rPr>
          <w:rFonts w:ascii="Times New Roman" w:hAnsi="Times New Roman" w:cs="Times New Roman"/>
          <w:sz w:val="24"/>
          <w:szCs w:val="24"/>
        </w:rPr>
      </w:pPr>
      <w:r w:rsidRPr="006F5537">
        <w:rPr>
          <w:rFonts w:ascii="Times New Roman" w:hAnsi="Times New Roman" w:cs="Times New Roman"/>
          <w:sz w:val="24"/>
          <w:szCs w:val="24"/>
        </w:rPr>
        <w:t>[Name]</w:t>
      </w:r>
    </w:p>
    <w:p w:rsidR="006F5537" w:rsidRPr="006F5537" w:rsidRDefault="006F5537" w:rsidP="006F5537">
      <w:pPr>
        <w:spacing w:after="0" w:line="480" w:lineRule="auto"/>
        <w:rPr>
          <w:rFonts w:ascii="Times New Roman" w:hAnsi="Times New Roman" w:cs="Times New Roman"/>
          <w:sz w:val="24"/>
          <w:szCs w:val="24"/>
        </w:rPr>
      </w:pPr>
      <w:r w:rsidRPr="006F5537">
        <w:rPr>
          <w:rFonts w:ascii="Times New Roman" w:hAnsi="Times New Roman" w:cs="Times New Roman"/>
          <w:sz w:val="24"/>
          <w:szCs w:val="24"/>
        </w:rPr>
        <w:t>[Course]</w:t>
      </w:r>
    </w:p>
    <w:p w:rsidR="006F5537" w:rsidRPr="006F5537" w:rsidRDefault="006F5537" w:rsidP="006F5537">
      <w:pPr>
        <w:spacing w:after="0" w:line="480" w:lineRule="auto"/>
        <w:rPr>
          <w:rFonts w:ascii="Times New Roman" w:hAnsi="Times New Roman" w:cs="Times New Roman"/>
          <w:sz w:val="24"/>
          <w:szCs w:val="24"/>
        </w:rPr>
      </w:pPr>
      <w:r w:rsidRPr="006F5537">
        <w:rPr>
          <w:rFonts w:ascii="Times New Roman" w:hAnsi="Times New Roman" w:cs="Times New Roman"/>
          <w:sz w:val="24"/>
          <w:szCs w:val="24"/>
        </w:rPr>
        <w:t>[Tutor]</w:t>
      </w:r>
    </w:p>
    <w:p w:rsidR="006F5537" w:rsidRPr="006F5537" w:rsidRDefault="006F5537" w:rsidP="006F5537">
      <w:pPr>
        <w:spacing w:after="0" w:line="480" w:lineRule="auto"/>
        <w:rPr>
          <w:rFonts w:ascii="Times New Roman" w:hAnsi="Times New Roman" w:cs="Times New Roman"/>
          <w:sz w:val="24"/>
          <w:szCs w:val="24"/>
        </w:rPr>
      </w:pPr>
      <w:r w:rsidRPr="006F5537">
        <w:rPr>
          <w:rFonts w:ascii="Times New Roman" w:hAnsi="Times New Roman" w:cs="Times New Roman"/>
          <w:sz w:val="24"/>
          <w:szCs w:val="24"/>
        </w:rPr>
        <w:t>[Date]</w:t>
      </w:r>
    </w:p>
    <w:p w:rsidR="003C0FE9" w:rsidRPr="006F5537" w:rsidRDefault="00FD6BD5" w:rsidP="002B4D98">
      <w:pPr>
        <w:spacing w:after="0" w:line="480" w:lineRule="auto"/>
        <w:ind w:firstLine="720"/>
        <w:rPr>
          <w:rFonts w:ascii="Times New Roman" w:hAnsi="Times New Roman" w:cs="Times New Roman"/>
          <w:sz w:val="24"/>
          <w:szCs w:val="24"/>
        </w:rPr>
      </w:pPr>
      <w:r w:rsidRPr="006F5537">
        <w:rPr>
          <w:rFonts w:ascii="Times New Roman" w:hAnsi="Times New Roman" w:cs="Times New Roman"/>
          <w:sz w:val="24"/>
          <w:szCs w:val="24"/>
        </w:rPr>
        <w:t xml:space="preserve">Notably, ever since the publication of Robert Putnam’s article ‘E Pluribus Unum,’ a significant number of academics across the social sciences have deeply been engaged in a heated debate concerning the alleged negative impacts associated with the ever-escalating </w:t>
      </w:r>
      <w:r w:rsidR="00F35645" w:rsidRPr="006F5537">
        <w:rPr>
          <w:rFonts w:ascii="Times New Roman" w:hAnsi="Times New Roman" w:cs="Times New Roman"/>
          <w:sz w:val="24"/>
          <w:szCs w:val="24"/>
        </w:rPr>
        <w:t xml:space="preserve">ethnic diversity accompanying migration inflows to societies, especially the West. Arguably, this article is comprised of some ‘prescriptive’ messages; describing what should be done concerning the </w:t>
      </w:r>
      <w:r w:rsidR="002B4D98" w:rsidRPr="006F5537">
        <w:rPr>
          <w:rFonts w:ascii="Times New Roman" w:hAnsi="Times New Roman" w:cs="Times New Roman"/>
          <w:sz w:val="24"/>
          <w:szCs w:val="24"/>
        </w:rPr>
        <w:t>immigrants’</w:t>
      </w:r>
      <w:r w:rsidR="00F35645" w:rsidRPr="006F5537">
        <w:rPr>
          <w:rFonts w:ascii="Times New Roman" w:hAnsi="Times New Roman" w:cs="Times New Roman"/>
          <w:sz w:val="24"/>
          <w:szCs w:val="24"/>
        </w:rPr>
        <w:t xml:space="preserve"> integration, though, empirically, its main devotion is to de</w:t>
      </w:r>
      <w:r w:rsidR="00951BDD">
        <w:rPr>
          <w:rFonts w:ascii="Times New Roman" w:hAnsi="Times New Roman" w:cs="Times New Roman"/>
          <w:sz w:val="24"/>
          <w:szCs w:val="24"/>
        </w:rPr>
        <w:t>pict that there is a connection</w:t>
      </w:r>
      <w:r w:rsidR="00F35645" w:rsidRPr="006F5537">
        <w:rPr>
          <w:rFonts w:ascii="Times New Roman" w:hAnsi="Times New Roman" w:cs="Times New Roman"/>
          <w:sz w:val="24"/>
          <w:szCs w:val="24"/>
        </w:rPr>
        <w:t xml:space="preserve"> </w:t>
      </w:r>
      <w:r w:rsidR="00951BDD">
        <w:rPr>
          <w:rFonts w:ascii="Times New Roman" w:hAnsi="Times New Roman" w:cs="Times New Roman"/>
          <w:sz w:val="24"/>
          <w:szCs w:val="24"/>
        </w:rPr>
        <w:t>amid</w:t>
      </w:r>
      <w:r w:rsidR="0023400B" w:rsidRPr="006F5537">
        <w:rPr>
          <w:rFonts w:ascii="Times New Roman" w:hAnsi="Times New Roman" w:cs="Times New Roman"/>
          <w:sz w:val="24"/>
          <w:szCs w:val="24"/>
        </w:rPr>
        <w:t xml:space="preserve"> higher ethnic diversity and adverse social as well as political upshots. </w:t>
      </w:r>
    </w:p>
    <w:p w:rsidR="00A20A74" w:rsidRPr="006F5537" w:rsidRDefault="0023400B" w:rsidP="002B4D98">
      <w:pPr>
        <w:spacing w:after="0" w:line="480" w:lineRule="auto"/>
        <w:ind w:firstLine="720"/>
        <w:rPr>
          <w:rFonts w:ascii="Times New Roman" w:hAnsi="Times New Roman" w:cs="Times New Roman"/>
          <w:sz w:val="24"/>
          <w:szCs w:val="24"/>
        </w:rPr>
      </w:pPr>
      <w:r w:rsidRPr="006F5537">
        <w:rPr>
          <w:rFonts w:ascii="Times New Roman" w:hAnsi="Times New Roman" w:cs="Times New Roman"/>
          <w:sz w:val="24"/>
          <w:szCs w:val="24"/>
        </w:rPr>
        <w:t xml:space="preserve">With the use of US data from the SCCBS (Social Capital Community Benchmark Survey), together with depending on aggregate bivariate analyses alongside multivariate models, which combine </w:t>
      </w:r>
      <w:r w:rsidR="008F41F0" w:rsidRPr="006F5537">
        <w:rPr>
          <w:rFonts w:ascii="Times New Roman" w:hAnsi="Times New Roman" w:cs="Times New Roman"/>
          <w:sz w:val="24"/>
          <w:szCs w:val="24"/>
        </w:rPr>
        <w:t xml:space="preserve">individual and even contextual data, Putnam summarizes that ethnic diversity and the </w:t>
      </w:r>
      <w:r w:rsidR="002B4D98" w:rsidRPr="006F5537">
        <w:rPr>
          <w:rFonts w:ascii="Times New Roman" w:hAnsi="Times New Roman" w:cs="Times New Roman"/>
          <w:sz w:val="24"/>
          <w:szCs w:val="24"/>
        </w:rPr>
        <w:t>immigrants’</w:t>
      </w:r>
      <w:r w:rsidR="008F41F0" w:rsidRPr="006F5537">
        <w:rPr>
          <w:rFonts w:ascii="Times New Roman" w:hAnsi="Times New Roman" w:cs="Times New Roman"/>
          <w:sz w:val="24"/>
          <w:szCs w:val="24"/>
        </w:rPr>
        <w:t xml:space="preserve"> percentage in the area is negatively linked with most of these sorts of trust</w:t>
      </w:r>
      <w:r w:rsidR="00A20A74" w:rsidRPr="006F5537">
        <w:rPr>
          <w:rFonts w:ascii="Times New Roman" w:hAnsi="Times New Roman" w:cs="Times New Roman"/>
          <w:sz w:val="24"/>
          <w:szCs w:val="24"/>
        </w:rPr>
        <w:t xml:space="preserve"> (Putnam, p. 155)</w:t>
      </w:r>
      <w:r w:rsidR="008F41F0" w:rsidRPr="006F5537">
        <w:rPr>
          <w:rFonts w:ascii="Times New Roman" w:hAnsi="Times New Roman" w:cs="Times New Roman"/>
          <w:sz w:val="24"/>
          <w:szCs w:val="24"/>
        </w:rPr>
        <w:t>. However, this phenomenon does not apply in ‘</w:t>
      </w:r>
      <w:r w:rsidR="008F41F0" w:rsidRPr="006F5537">
        <w:rPr>
          <w:rFonts w:ascii="Times New Roman" w:hAnsi="Times New Roman" w:cs="Times New Roman"/>
          <w:noProof/>
          <w:sz w:val="24"/>
          <w:szCs w:val="24"/>
        </w:rPr>
        <w:t>ethnocentric</w:t>
      </w:r>
      <w:r w:rsidR="008F41F0" w:rsidRPr="006F5537">
        <w:rPr>
          <w:rFonts w:ascii="Times New Roman" w:hAnsi="Times New Roman" w:cs="Times New Roman"/>
          <w:sz w:val="24"/>
          <w:szCs w:val="24"/>
        </w:rPr>
        <w:t>’ trust which is defined as the trust in people of an individual’s own race minus that in people of other races.</w:t>
      </w:r>
      <w:r w:rsidR="003C0FE9" w:rsidRPr="006F5537">
        <w:rPr>
          <w:rFonts w:ascii="Times New Roman" w:hAnsi="Times New Roman" w:cs="Times New Roman"/>
          <w:sz w:val="24"/>
          <w:szCs w:val="24"/>
        </w:rPr>
        <w:t xml:space="preserve"> Furthermore, Putnam aptly used the census tract as a </w:t>
      </w:r>
      <w:r w:rsidR="003C0FE9" w:rsidRPr="002B4D98">
        <w:rPr>
          <w:rFonts w:ascii="Times New Roman" w:hAnsi="Times New Roman" w:cs="Times New Roman"/>
          <w:noProof/>
          <w:sz w:val="24"/>
          <w:szCs w:val="24"/>
        </w:rPr>
        <w:t>neighborhood</w:t>
      </w:r>
      <w:r w:rsidR="003C0FE9" w:rsidRPr="006F5537">
        <w:rPr>
          <w:rFonts w:ascii="Times New Roman" w:hAnsi="Times New Roman" w:cs="Times New Roman"/>
          <w:sz w:val="24"/>
          <w:szCs w:val="24"/>
        </w:rPr>
        <w:t xml:space="preserve"> proxy</w:t>
      </w:r>
      <w:r w:rsidR="007A0587" w:rsidRPr="006F5537">
        <w:rPr>
          <w:rFonts w:ascii="Times New Roman" w:hAnsi="Times New Roman" w:cs="Times New Roman"/>
          <w:sz w:val="24"/>
          <w:szCs w:val="24"/>
        </w:rPr>
        <w:t xml:space="preserve"> while justifying the claim that ethnically diverse </w:t>
      </w:r>
      <w:r w:rsidR="007A0587" w:rsidRPr="002B4D98">
        <w:rPr>
          <w:rFonts w:ascii="Times New Roman" w:hAnsi="Times New Roman" w:cs="Times New Roman"/>
          <w:noProof/>
          <w:sz w:val="24"/>
          <w:szCs w:val="24"/>
        </w:rPr>
        <w:t>neighborhoods</w:t>
      </w:r>
      <w:r w:rsidR="007A0587" w:rsidRPr="006F5537">
        <w:rPr>
          <w:rFonts w:ascii="Times New Roman" w:hAnsi="Times New Roman" w:cs="Times New Roman"/>
          <w:sz w:val="24"/>
          <w:szCs w:val="24"/>
        </w:rPr>
        <w:t xml:space="preserve"> are responsible for the generation of hunkering. In order to confirm the connection amid ethnic diversity and social capital, a different dataset was </w:t>
      </w:r>
      <w:r w:rsidR="007A0587" w:rsidRPr="006F5537">
        <w:rPr>
          <w:rFonts w:ascii="Times New Roman" w:hAnsi="Times New Roman" w:cs="Times New Roman"/>
          <w:sz w:val="24"/>
          <w:szCs w:val="24"/>
        </w:rPr>
        <w:lastRenderedPageBreak/>
        <w:t xml:space="preserve">used; the </w:t>
      </w:r>
      <w:r w:rsidR="000C5530" w:rsidRPr="006F5537">
        <w:rPr>
          <w:rFonts w:ascii="Times New Roman" w:hAnsi="Times New Roman" w:cs="Times New Roman"/>
          <w:sz w:val="24"/>
          <w:szCs w:val="24"/>
        </w:rPr>
        <w:t xml:space="preserve">RGF measure, which affirmed as noted by Putnam, that “the RGF social capital measure is strongly negatively correlated with both immigration and ethnic diversity” (p. 156). </w:t>
      </w:r>
    </w:p>
    <w:p w:rsidR="00051B06" w:rsidRPr="006F5537" w:rsidRDefault="000C5530" w:rsidP="002B4D98">
      <w:pPr>
        <w:spacing w:after="0" w:line="480" w:lineRule="auto"/>
        <w:ind w:firstLine="720"/>
        <w:rPr>
          <w:rFonts w:ascii="Times New Roman" w:hAnsi="Times New Roman" w:cs="Times New Roman"/>
          <w:sz w:val="24"/>
          <w:szCs w:val="24"/>
        </w:rPr>
      </w:pPr>
      <w:r w:rsidRPr="006F5537">
        <w:rPr>
          <w:rFonts w:ascii="Times New Roman" w:hAnsi="Times New Roman" w:cs="Times New Roman"/>
          <w:sz w:val="24"/>
          <w:szCs w:val="24"/>
        </w:rPr>
        <w:t>Broadly</w:t>
      </w:r>
      <w:r w:rsidR="00A20A74" w:rsidRPr="006F5537">
        <w:rPr>
          <w:rFonts w:ascii="Times New Roman" w:hAnsi="Times New Roman" w:cs="Times New Roman"/>
          <w:sz w:val="24"/>
          <w:szCs w:val="24"/>
        </w:rPr>
        <w:t xml:space="preserve">, the aforementioned article by Putnam was a major publication that adequately embarked upon a spiky topic of negative consequences that are accrued to the escalating diversity on social cohesion, trust level within societies and even on civic engagement. Using the </w:t>
      </w:r>
      <w:r w:rsidR="00516123" w:rsidRPr="006F5537">
        <w:rPr>
          <w:rFonts w:ascii="Times New Roman" w:hAnsi="Times New Roman" w:cs="Times New Roman"/>
          <w:sz w:val="24"/>
          <w:szCs w:val="24"/>
        </w:rPr>
        <w:t>leading</w:t>
      </w:r>
      <w:r w:rsidR="00A20A74" w:rsidRPr="006F5537">
        <w:rPr>
          <w:rFonts w:ascii="Times New Roman" w:hAnsi="Times New Roman" w:cs="Times New Roman"/>
          <w:sz w:val="24"/>
          <w:szCs w:val="24"/>
        </w:rPr>
        <w:t xml:space="preserve"> and the most </w:t>
      </w:r>
      <w:r w:rsidR="00516123" w:rsidRPr="006F5537">
        <w:rPr>
          <w:rFonts w:ascii="Times New Roman" w:hAnsi="Times New Roman" w:cs="Times New Roman"/>
          <w:sz w:val="24"/>
          <w:szCs w:val="24"/>
        </w:rPr>
        <w:t>all-inclusive</w:t>
      </w:r>
      <w:r w:rsidR="00A20A74" w:rsidRPr="006F5537">
        <w:rPr>
          <w:rFonts w:ascii="Times New Roman" w:hAnsi="Times New Roman" w:cs="Times New Roman"/>
          <w:sz w:val="24"/>
          <w:szCs w:val="24"/>
        </w:rPr>
        <w:t xml:space="preserve"> civic engagement survey </w:t>
      </w:r>
      <w:r w:rsidR="00516123" w:rsidRPr="006F5537">
        <w:rPr>
          <w:rFonts w:ascii="Times New Roman" w:hAnsi="Times New Roman" w:cs="Times New Roman"/>
          <w:sz w:val="24"/>
          <w:szCs w:val="24"/>
        </w:rPr>
        <w:t>in the United States (SCCBS), Putnam was able to present articulate findings that evidence the issues surrounding ethnic diversity. In accordance with this article, the survey results abundantly affirmed that Americans living in more ethnically diverse groups, are less likely engage</w:t>
      </w:r>
      <w:r w:rsidR="00051B06" w:rsidRPr="006F5537">
        <w:rPr>
          <w:rFonts w:ascii="Times New Roman" w:hAnsi="Times New Roman" w:cs="Times New Roman"/>
          <w:sz w:val="24"/>
          <w:szCs w:val="24"/>
        </w:rPr>
        <w:t>d</w:t>
      </w:r>
      <w:r w:rsidR="00516123" w:rsidRPr="006F5537">
        <w:rPr>
          <w:rFonts w:ascii="Times New Roman" w:hAnsi="Times New Roman" w:cs="Times New Roman"/>
          <w:sz w:val="24"/>
          <w:szCs w:val="24"/>
        </w:rPr>
        <w:t xml:space="preserve"> in voting, doing volunteer work</w:t>
      </w:r>
      <w:r w:rsidR="00051B06" w:rsidRPr="006F5537">
        <w:rPr>
          <w:rFonts w:ascii="Times New Roman" w:hAnsi="Times New Roman" w:cs="Times New Roman"/>
          <w:sz w:val="24"/>
          <w:szCs w:val="24"/>
        </w:rPr>
        <w:t xml:space="preserve"> and even trusting others (both of the same and of different ethnicities or races) compared with the ones living in more ethnically homogenous societies</w:t>
      </w:r>
      <w:r w:rsidR="006F5537" w:rsidRPr="006F5537">
        <w:rPr>
          <w:rFonts w:ascii="Times New Roman" w:hAnsi="Times New Roman" w:cs="Times New Roman"/>
          <w:sz w:val="24"/>
          <w:szCs w:val="24"/>
        </w:rPr>
        <w:t xml:space="preserve"> (Putman, p. 155)</w:t>
      </w:r>
      <w:r w:rsidR="00051B06" w:rsidRPr="006F5537">
        <w:rPr>
          <w:rFonts w:ascii="Times New Roman" w:hAnsi="Times New Roman" w:cs="Times New Roman"/>
          <w:sz w:val="24"/>
          <w:szCs w:val="24"/>
        </w:rPr>
        <w:t>. In this sense, Putnam maintains that higher ethnic</w:t>
      </w:r>
      <w:r w:rsidR="006F5537">
        <w:rPr>
          <w:rFonts w:ascii="Times New Roman" w:hAnsi="Times New Roman" w:cs="Times New Roman"/>
          <w:sz w:val="24"/>
          <w:szCs w:val="24"/>
        </w:rPr>
        <w:t>, as well as racial diversity levels,</w:t>
      </w:r>
      <w:r w:rsidR="00051B06" w:rsidRPr="006F5537">
        <w:rPr>
          <w:rFonts w:ascii="Times New Roman" w:hAnsi="Times New Roman" w:cs="Times New Roman"/>
          <w:sz w:val="24"/>
          <w:szCs w:val="24"/>
        </w:rPr>
        <w:t xml:space="preserve"> are correlated with lower civic health levels. </w:t>
      </w:r>
    </w:p>
    <w:p w:rsidR="00527C4C" w:rsidRPr="006F5537" w:rsidRDefault="00051B06" w:rsidP="002B4D98">
      <w:pPr>
        <w:spacing w:after="0" w:line="480" w:lineRule="auto"/>
        <w:ind w:firstLine="720"/>
        <w:rPr>
          <w:rFonts w:ascii="Times New Roman" w:hAnsi="Times New Roman" w:cs="Times New Roman"/>
          <w:sz w:val="24"/>
          <w:szCs w:val="24"/>
        </w:rPr>
      </w:pPr>
      <w:r w:rsidRPr="006F5537">
        <w:rPr>
          <w:rFonts w:ascii="Times New Roman" w:hAnsi="Times New Roman" w:cs="Times New Roman"/>
          <w:sz w:val="24"/>
          <w:szCs w:val="24"/>
        </w:rPr>
        <w:t xml:space="preserve">Ever sensitive to the </w:t>
      </w:r>
      <w:r w:rsidR="00527C4C" w:rsidRPr="006F5537">
        <w:rPr>
          <w:rFonts w:ascii="Times New Roman" w:hAnsi="Times New Roman" w:cs="Times New Roman"/>
          <w:sz w:val="24"/>
          <w:szCs w:val="24"/>
        </w:rPr>
        <w:t>inferences</w:t>
      </w:r>
      <w:r w:rsidRPr="006F5537">
        <w:rPr>
          <w:rFonts w:ascii="Times New Roman" w:hAnsi="Times New Roman" w:cs="Times New Roman"/>
          <w:sz w:val="24"/>
          <w:szCs w:val="24"/>
        </w:rPr>
        <w:t xml:space="preserve"> of his study to the</w:t>
      </w:r>
      <w:r w:rsidR="00620AC6" w:rsidRPr="006F5537">
        <w:rPr>
          <w:rFonts w:ascii="Times New Roman" w:hAnsi="Times New Roman" w:cs="Times New Roman"/>
          <w:sz w:val="24"/>
          <w:szCs w:val="24"/>
        </w:rPr>
        <w:t xml:space="preserve"> public, Robert Putnam completed</w:t>
      </w:r>
      <w:r w:rsidRPr="006F5537">
        <w:rPr>
          <w:rFonts w:ascii="Times New Roman" w:hAnsi="Times New Roman" w:cs="Times New Roman"/>
          <w:sz w:val="24"/>
          <w:szCs w:val="24"/>
        </w:rPr>
        <w:t xml:space="preserve"> this article by stating, “It would be unfortunate if a politically correct progre</w:t>
      </w:r>
      <w:r w:rsidR="00527C4C" w:rsidRPr="006F5537">
        <w:rPr>
          <w:rFonts w:ascii="Times New Roman" w:hAnsi="Times New Roman" w:cs="Times New Roman"/>
          <w:sz w:val="24"/>
          <w:szCs w:val="24"/>
        </w:rPr>
        <w:t xml:space="preserve">ssivism were to deny the reality of the challenge to social solidarity posed by diversity. It would be equally unfortunate if an ahistorical and ethnocentric conservatism were to deny that addressing the challenge is both feasible and desirable” (Putnam, p. 165). As a consequence, he sufficiently </w:t>
      </w:r>
      <w:r w:rsidR="00620AC6" w:rsidRPr="006F5537">
        <w:rPr>
          <w:rFonts w:ascii="Times New Roman" w:hAnsi="Times New Roman" w:cs="Times New Roman"/>
          <w:sz w:val="24"/>
          <w:szCs w:val="24"/>
        </w:rPr>
        <w:t>conveyed</w:t>
      </w:r>
      <w:r w:rsidR="00527C4C" w:rsidRPr="006F5537">
        <w:rPr>
          <w:rFonts w:ascii="Times New Roman" w:hAnsi="Times New Roman" w:cs="Times New Roman"/>
          <w:sz w:val="24"/>
          <w:szCs w:val="24"/>
        </w:rPr>
        <w:t xml:space="preserve"> optimism that the United States has the potential to meet this challenge by designing policies, which mainly stress on reconstructing ethnic identities; most essentially reducing their respective social salience devoid of disregarding their subjective significance.</w:t>
      </w:r>
    </w:p>
    <w:p w:rsidR="006F5537" w:rsidRPr="006F5537" w:rsidRDefault="00527C4C" w:rsidP="002B4D98">
      <w:pPr>
        <w:spacing w:after="0" w:line="480" w:lineRule="auto"/>
        <w:ind w:firstLine="720"/>
        <w:rPr>
          <w:rFonts w:ascii="Times New Roman" w:hAnsi="Times New Roman" w:cs="Times New Roman"/>
          <w:sz w:val="24"/>
          <w:szCs w:val="24"/>
        </w:rPr>
      </w:pPr>
      <w:r w:rsidRPr="006F5537">
        <w:rPr>
          <w:rFonts w:ascii="Times New Roman" w:hAnsi="Times New Roman" w:cs="Times New Roman"/>
          <w:sz w:val="24"/>
          <w:szCs w:val="24"/>
        </w:rPr>
        <w:t>Suffice to say,</w:t>
      </w:r>
      <w:r w:rsidR="00620AC6" w:rsidRPr="006F5537">
        <w:rPr>
          <w:rFonts w:ascii="Times New Roman" w:hAnsi="Times New Roman" w:cs="Times New Roman"/>
          <w:sz w:val="24"/>
          <w:szCs w:val="24"/>
        </w:rPr>
        <w:t xml:space="preserve"> concerning the United States’ capability for deconstructing the ethnic divisions’ disruptive salience, Pu</w:t>
      </w:r>
      <w:r w:rsidR="00104847" w:rsidRPr="006F5537">
        <w:rPr>
          <w:rFonts w:ascii="Times New Roman" w:hAnsi="Times New Roman" w:cs="Times New Roman"/>
          <w:sz w:val="24"/>
          <w:szCs w:val="24"/>
        </w:rPr>
        <w:t xml:space="preserve">tnam grounded some of his optimism; though retaining the </w:t>
      </w:r>
      <w:r w:rsidR="00104847" w:rsidRPr="006F5537">
        <w:rPr>
          <w:rFonts w:ascii="Times New Roman" w:hAnsi="Times New Roman" w:cs="Times New Roman"/>
          <w:sz w:val="24"/>
          <w:szCs w:val="24"/>
        </w:rPr>
        <w:lastRenderedPageBreak/>
        <w:t xml:space="preserve">personal ethnicity significance, </w:t>
      </w:r>
      <w:r w:rsidR="00620AC6" w:rsidRPr="006F5537">
        <w:rPr>
          <w:rFonts w:ascii="Times New Roman" w:hAnsi="Times New Roman" w:cs="Times New Roman"/>
          <w:sz w:val="24"/>
          <w:szCs w:val="24"/>
        </w:rPr>
        <w:t xml:space="preserve">on the idea that religious affiliation has </w:t>
      </w:r>
      <w:r w:rsidR="00104847" w:rsidRPr="006F5537">
        <w:rPr>
          <w:rFonts w:ascii="Times New Roman" w:hAnsi="Times New Roman" w:cs="Times New Roman"/>
          <w:sz w:val="24"/>
          <w:szCs w:val="24"/>
        </w:rPr>
        <w:t xml:space="preserve">over the past few decades </w:t>
      </w:r>
      <w:r w:rsidR="00620AC6" w:rsidRPr="006F5537">
        <w:rPr>
          <w:rFonts w:ascii="Times New Roman" w:hAnsi="Times New Roman" w:cs="Times New Roman"/>
          <w:sz w:val="24"/>
          <w:szCs w:val="24"/>
        </w:rPr>
        <w:t xml:space="preserve">become </w:t>
      </w:r>
      <w:r w:rsidR="00104847" w:rsidRPr="006F5537">
        <w:rPr>
          <w:rFonts w:ascii="Times New Roman" w:hAnsi="Times New Roman" w:cs="Times New Roman"/>
          <w:sz w:val="24"/>
          <w:szCs w:val="24"/>
        </w:rPr>
        <w:t xml:space="preserve">meaningfully </w:t>
      </w:r>
      <w:r w:rsidR="00620AC6" w:rsidRPr="006F5537">
        <w:rPr>
          <w:rFonts w:ascii="Times New Roman" w:hAnsi="Times New Roman" w:cs="Times New Roman"/>
          <w:sz w:val="24"/>
          <w:szCs w:val="24"/>
        </w:rPr>
        <w:t>less socially salient, whilst remaining vital personally</w:t>
      </w:r>
      <w:r w:rsidR="00104847" w:rsidRPr="006F5537">
        <w:rPr>
          <w:rFonts w:ascii="Times New Roman" w:hAnsi="Times New Roman" w:cs="Times New Roman"/>
          <w:sz w:val="24"/>
          <w:szCs w:val="24"/>
        </w:rPr>
        <w:t>. He proceeds to stat</w:t>
      </w:r>
      <w:r w:rsidR="00951BDD">
        <w:rPr>
          <w:rFonts w:ascii="Times New Roman" w:hAnsi="Times New Roman" w:cs="Times New Roman"/>
          <w:sz w:val="24"/>
          <w:szCs w:val="24"/>
        </w:rPr>
        <w:t xml:space="preserve">e that a great number of </w:t>
      </w:r>
      <w:r w:rsidR="00104847" w:rsidRPr="006F5537">
        <w:rPr>
          <w:rFonts w:ascii="Times New Roman" w:hAnsi="Times New Roman" w:cs="Times New Roman"/>
          <w:sz w:val="24"/>
          <w:szCs w:val="24"/>
        </w:rPr>
        <w:t>Americans belie</w:t>
      </w:r>
      <w:r w:rsidR="00951BDD">
        <w:rPr>
          <w:rFonts w:ascii="Times New Roman" w:hAnsi="Times New Roman" w:cs="Times New Roman"/>
          <w:sz w:val="24"/>
          <w:szCs w:val="24"/>
        </w:rPr>
        <w:t>ve that their religious title is even</w:t>
      </w:r>
      <w:r w:rsidR="00104847" w:rsidRPr="006F5537">
        <w:rPr>
          <w:rFonts w:ascii="Times New Roman" w:hAnsi="Times New Roman" w:cs="Times New Roman"/>
          <w:sz w:val="24"/>
          <w:szCs w:val="24"/>
        </w:rPr>
        <w:t xml:space="preserve"> more fundamental to them c</w:t>
      </w:r>
      <w:r w:rsidR="00951BDD">
        <w:rPr>
          <w:rFonts w:ascii="Times New Roman" w:hAnsi="Times New Roman" w:cs="Times New Roman"/>
          <w:sz w:val="24"/>
          <w:szCs w:val="24"/>
        </w:rPr>
        <w:t>ompared to their ethnicity</w:t>
      </w:r>
      <w:bookmarkStart w:id="0" w:name="_GoBack"/>
      <w:bookmarkEnd w:id="0"/>
      <w:r w:rsidR="00A0242E" w:rsidRPr="006F5537">
        <w:rPr>
          <w:rFonts w:ascii="Times New Roman" w:hAnsi="Times New Roman" w:cs="Times New Roman"/>
          <w:sz w:val="24"/>
          <w:szCs w:val="24"/>
        </w:rPr>
        <w:t xml:space="preserve">, though religious disparities salience as social identity lines has tremendously reduced. When Putman states, “As our religious identities have become more permeable, we have gained much religiously bridging social capital, while not forsaking our own religious loyalties,” </w:t>
      </w:r>
      <w:r w:rsidR="00380D74" w:rsidRPr="006F5537">
        <w:rPr>
          <w:rFonts w:ascii="Times New Roman" w:hAnsi="Times New Roman" w:cs="Times New Roman"/>
          <w:sz w:val="24"/>
          <w:szCs w:val="24"/>
        </w:rPr>
        <w:t xml:space="preserve">(p. 160), </w:t>
      </w:r>
      <w:r w:rsidR="00A0242E" w:rsidRPr="006F5537">
        <w:rPr>
          <w:rFonts w:ascii="Times New Roman" w:hAnsi="Times New Roman" w:cs="Times New Roman"/>
          <w:sz w:val="24"/>
          <w:szCs w:val="24"/>
        </w:rPr>
        <w:t xml:space="preserve">he implies that the process of deconstructing racial and ethnic identities should not be hurried and that human civilization will only be attributed to the communities’ capacity to redraw social lines </w:t>
      </w:r>
      <w:r w:rsidR="00380D74" w:rsidRPr="006F5537">
        <w:rPr>
          <w:rFonts w:ascii="Times New Roman" w:hAnsi="Times New Roman" w:cs="Times New Roman"/>
          <w:sz w:val="24"/>
          <w:szCs w:val="24"/>
        </w:rPr>
        <w:t xml:space="preserve">surpassing an individual’s origin. </w:t>
      </w: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2B4D98" w:rsidRDefault="002B4D98" w:rsidP="006F5537">
      <w:pPr>
        <w:spacing w:after="0" w:line="480" w:lineRule="auto"/>
        <w:jc w:val="center"/>
        <w:rPr>
          <w:rFonts w:ascii="Times New Roman" w:hAnsi="Times New Roman" w:cs="Times New Roman"/>
          <w:b/>
          <w:sz w:val="24"/>
          <w:szCs w:val="24"/>
        </w:rPr>
      </w:pPr>
    </w:p>
    <w:p w:rsidR="006F5537" w:rsidRPr="006F5537" w:rsidRDefault="002B4D98" w:rsidP="006F553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w:t>
      </w:r>
      <w:r w:rsidR="006F5537" w:rsidRPr="006F5537">
        <w:rPr>
          <w:rFonts w:ascii="Times New Roman" w:hAnsi="Times New Roman" w:cs="Times New Roman"/>
          <w:b/>
          <w:sz w:val="24"/>
          <w:szCs w:val="24"/>
        </w:rPr>
        <w:t xml:space="preserve"> Cited</w:t>
      </w:r>
    </w:p>
    <w:p w:rsidR="00FD6BD5" w:rsidRPr="006F5537" w:rsidRDefault="006F5537" w:rsidP="006F5537">
      <w:pPr>
        <w:spacing w:after="0" w:line="480" w:lineRule="auto"/>
        <w:ind w:left="720" w:hanging="720"/>
        <w:rPr>
          <w:rFonts w:ascii="Times New Roman" w:hAnsi="Times New Roman" w:cs="Times New Roman"/>
          <w:sz w:val="24"/>
          <w:szCs w:val="24"/>
        </w:rPr>
      </w:pPr>
      <w:r w:rsidRPr="006F5537">
        <w:rPr>
          <w:rFonts w:ascii="Times New Roman" w:hAnsi="Times New Roman" w:cs="Times New Roman"/>
          <w:sz w:val="24"/>
          <w:szCs w:val="24"/>
        </w:rPr>
        <w:t>Putnam, Robert D. "E Pluribus Unum: Diversity and community in the twenty</w:t>
      </w:r>
      <w:r w:rsidRPr="006F5537">
        <w:rPr>
          <w:rFonts w:ascii="Cambria Math" w:hAnsi="Cambria Math" w:cs="Cambria Math"/>
          <w:sz w:val="24"/>
          <w:szCs w:val="24"/>
        </w:rPr>
        <w:t>‐</w:t>
      </w:r>
      <w:r w:rsidRPr="006F5537">
        <w:rPr>
          <w:rFonts w:ascii="Times New Roman" w:hAnsi="Times New Roman" w:cs="Times New Roman"/>
          <w:sz w:val="24"/>
          <w:szCs w:val="24"/>
        </w:rPr>
        <w:t>first century the 2006 Johan Skytte Prize Lecture." </w:t>
      </w:r>
      <w:r w:rsidRPr="006F5537">
        <w:rPr>
          <w:rFonts w:ascii="Times New Roman" w:hAnsi="Times New Roman" w:cs="Times New Roman"/>
          <w:i/>
          <w:iCs/>
          <w:sz w:val="24"/>
          <w:szCs w:val="24"/>
        </w:rPr>
        <w:t>Scandinavian political studies</w:t>
      </w:r>
      <w:r w:rsidRPr="006F5537">
        <w:rPr>
          <w:rFonts w:ascii="Times New Roman" w:hAnsi="Times New Roman" w:cs="Times New Roman"/>
          <w:sz w:val="24"/>
          <w:szCs w:val="24"/>
        </w:rPr>
        <w:t> 30.2 (2007): 137-174.</w:t>
      </w:r>
      <w:r w:rsidR="00A0242E" w:rsidRPr="006F5537">
        <w:rPr>
          <w:rFonts w:ascii="Times New Roman" w:hAnsi="Times New Roman" w:cs="Times New Roman"/>
          <w:sz w:val="24"/>
          <w:szCs w:val="24"/>
        </w:rPr>
        <w:t xml:space="preserve"> </w:t>
      </w:r>
      <w:r w:rsidR="00527C4C" w:rsidRPr="006F5537">
        <w:rPr>
          <w:rFonts w:ascii="Times New Roman" w:hAnsi="Times New Roman" w:cs="Times New Roman"/>
          <w:sz w:val="24"/>
          <w:szCs w:val="24"/>
        </w:rPr>
        <w:t xml:space="preserve"> </w:t>
      </w:r>
    </w:p>
    <w:sectPr w:rsidR="00FD6BD5" w:rsidRPr="006F55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D44" w:rsidRDefault="00300D44" w:rsidP="006F5537">
      <w:pPr>
        <w:spacing w:after="0" w:line="240" w:lineRule="auto"/>
      </w:pPr>
      <w:r>
        <w:separator/>
      </w:r>
    </w:p>
  </w:endnote>
  <w:endnote w:type="continuationSeparator" w:id="0">
    <w:p w:rsidR="00300D44" w:rsidRDefault="00300D44" w:rsidP="006F5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D44" w:rsidRDefault="00300D44" w:rsidP="006F5537">
      <w:pPr>
        <w:spacing w:after="0" w:line="240" w:lineRule="auto"/>
      </w:pPr>
      <w:r>
        <w:separator/>
      </w:r>
    </w:p>
  </w:footnote>
  <w:footnote w:type="continuationSeparator" w:id="0">
    <w:p w:rsidR="00300D44" w:rsidRDefault="00300D44" w:rsidP="006F5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0755200"/>
      <w:docPartObj>
        <w:docPartGallery w:val="Page Numbers (Top of Page)"/>
        <w:docPartUnique/>
      </w:docPartObj>
    </w:sdtPr>
    <w:sdtEndPr>
      <w:rPr>
        <w:noProof/>
      </w:rPr>
    </w:sdtEndPr>
    <w:sdtContent>
      <w:p w:rsidR="006F5537" w:rsidRPr="006F5537" w:rsidRDefault="006F5537" w:rsidP="006F5537">
        <w:pPr>
          <w:pStyle w:val="Header"/>
          <w:spacing w:line="480" w:lineRule="auto"/>
          <w:jc w:val="right"/>
          <w:rPr>
            <w:rFonts w:ascii="Times New Roman" w:hAnsi="Times New Roman" w:cs="Times New Roman"/>
            <w:sz w:val="24"/>
            <w:szCs w:val="24"/>
          </w:rPr>
        </w:pPr>
        <w:r w:rsidRPr="006F5537">
          <w:rPr>
            <w:rFonts w:ascii="Times New Roman" w:hAnsi="Times New Roman" w:cs="Times New Roman"/>
            <w:sz w:val="24"/>
            <w:szCs w:val="24"/>
          </w:rPr>
          <w:t xml:space="preserve">Surname </w:t>
        </w:r>
        <w:r w:rsidRPr="006F5537">
          <w:rPr>
            <w:rFonts w:ascii="Times New Roman" w:hAnsi="Times New Roman" w:cs="Times New Roman"/>
            <w:sz w:val="24"/>
            <w:szCs w:val="24"/>
          </w:rPr>
          <w:fldChar w:fldCharType="begin"/>
        </w:r>
        <w:r w:rsidRPr="006F5537">
          <w:rPr>
            <w:rFonts w:ascii="Times New Roman" w:hAnsi="Times New Roman" w:cs="Times New Roman"/>
            <w:sz w:val="24"/>
            <w:szCs w:val="24"/>
          </w:rPr>
          <w:instrText xml:space="preserve"> PAGE   \* MERGEFORMAT </w:instrText>
        </w:r>
        <w:r w:rsidRPr="006F5537">
          <w:rPr>
            <w:rFonts w:ascii="Times New Roman" w:hAnsi="Times New Roman" w:cs="Times New Roman"/>
            <w:sz w:val="24"/>
            <w:szCs w:val="24"/>
          </w:rPr>
          <w:fldChar w:fldCharType="separate"/>
        </w:r>
        <w:r w:rsidR="00951BDD">
          <w:rPr>
            <w:rFonts w:ascii="Times New Roman" w:hAnsi="Times New Roman" w:cs="Times New Roman"/>
            <w:noProof/>
            <w:sz w:val="24"/>
            <w:szCs w:val="24"/>
          </w:rPr>
          <w:t>4</w:t>
        </w:r>
        <w:r w:rsidRPr="006F5537">
          <w:rPr>
            <w:rFonts w:ascii="Times New Roman" w:hAnsi="Times New Roman" w:cs="Times New Roman"/>
            <w:noProof/>
            <w:sz w:val="24"/>
            <w:szCs w:val="24"/>
          </w:rPr>
          <w:fldChar w:fldCharType="end"/>
        </w:r>
      </w:p>
    </w:sdtContent>
  </w:sdt>
  <w:p w:rsidR="006F5537" w:rsidRPr="006F5537" w:rsidRDefault="006F5537" w:rsidP="006F553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wNTYxMzYzMLIwNbVU0lEKTi0uzszPAykwqgUAfTfYaSwAAAA="/>
  </w:docVars>
  <w:rsids>
    <w:rsidRoot w:val="00FD6BD5"/>
    <w:rsid w:val="00051B06"/>
    <w:rsid w:val="000C5530"/>
    <w:rsid w:val="00104847"/>
    <w:rsid w:val="0023400B"/>
    <w:rsid w:val="002B4D98"/>
    <w:rsid w:val="00300D44"/>
    <w:rsid w:val="00380D74"/>
    <w:rsid w:val="003C0FE9"/>
    <w:rsid w:val="00514D38"/>
    <w:rsid w:val="00516123"/>
    <w:rsid w:val="00527C4C"/>
    <w:rsid w:val="00620AC6"/>
    <w:rsid w:val="006F5537"/>
    <w:rsid w:val="00793023"/>
    <w:rsid w:val="007A0587"/>
    <w:rsid w:val="008F41F0"/>
    <w:rsid w:val="00951BDD"/>
    <w:rsid w:val="00A0242E"/>
    <w:rsid w:val="00A20A74"/>
    <w:rsid w:val="00DC795F"/>
    <w:rsid w:val="00F35645"/>
    <w:rsid w:val="00FD6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F37F"/>
  <w15:chartTrackingRefBased/>
  <w15:docId w15:val="{AF884795-75B8-4E0A-AE61-AFC0D6DC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537"/>
  </w:style>
  <w:style w:type="paragraph" w:styleId="Footer">
    <w:name w:val="footer"/>
    <w:basedOn w:val="Normal"/>
    <w:link w:val="FooterChar"/>
    <w:uiPriority w:val="99"/>
    <w:unhideWhenUsed/>
    <w:rsid w:val="006F5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6</cp:revision>
  <dcterms:created xsi:type="dcterms:W3CDTF">2018-11-18T22:23:00Z</dcterms:created>
  <dcterms:modified xsi:type="dcterms:W3CDTF">2018-11-18T12:29:00Z</dcterms:modified>
</cp:coreProperties>
</file>